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9B0" w:rsidRDefault="00A069B0" w:rsidP="00A069B0">
      <w:pPr>
        <w:jc w:val="center"/>
        <w:rPr>
          <w:rFonts w:cs="Arial"/>
          <w:b/>
          <w:sz w:val="20"/>
          <w:szCs w:val="20"/>
        </w:rPr>
      </w:pPr>
      <w:r>
        <w:rPr>
          <w:rFonts w:cs="Arial"/>
          <w:b/>
          <w:sz w:val="20"/>
          <w:szCs w:val="20"/>
          <w:u w:val="single"/>
        </w:rPr>
        <w:t>ANNEX E</w:t>
      </w:r>
      <w:r>
        <w:rPr>
          <w:rFonts w:cs="Arial"/>
          <w:b/>
          <w:sz w:val="20"/>
          <w:szCs w:val="20"/>
        </w:rPr>
        <w:t xml:space="preserve"> </w:t>
      </w:r>
    </w:p>
    <w:p w:rsidR="00A069B0" w:rsidRDefault="00A069B0" w:rsidP="00A069B0">
      <w:pPr>
        <w:rPr>
          <w:rFonts w:cs="Arial"/>
          <w:b/>
          <w:sz w:val="20"/>
          <w:szCs w:val="20"/>
        </w:rPr>
      </w:pPr>
    </w:p>
    <w:p w:rsidR="00A069B0" w:rsidRDefault="00A069B0" w:rsidP="00A069B0">
      <w:pPr>
        <w:jc w:val="center"/>
        <w:rPr>
          <w:rFonts w:cs="Arial"/>
          <w:b/>
          <w:sz w:val="20"/>
          <w:szCs w:val="20"/>
        </w:rPr>
      </w:pPr>
      <w:r>
        <w:rPr>
          <w:rFonts w:cs="Arial"/>
          <w:b/>
          <w:sz w:val="20"/>
          <w:szCs w:val="20"/>
          <w:u w:val="single"/>
        </w:rPr>
        <w:t>CORPORATE GOVERNANCE</w:t>
      </w:r>
    </w:p>
    <w:p w:rsidR="00A069B0" w:rsidRDefault="00A069B0" w:rsidP="00A069B0"/>
    <w:p w:rsidR="00A069B0" w:rsidRPr="006B6D74" w:rsidRDefault="00A069B0" w:rsidP="00A069B0">
      <w:pPr>
        <w:pStyle w:val="MultiLevelL1"/>
        <w:numPr>
          <w:ilvl w:val="0"/>
          <w:numId w:val="4"/>
        </w:numPr>
        <w:tabs>
          <w:tab w:val="clear" w:pos="1080"/>
        </w:tabs>
        <w:spacing w:before="120"/>
        <w:ind w:left="567" w:hanging="567"/>
        <w:jc w:val="both"/>
        <w:rPr>
          <w:rFonts w:ascii="Arial" w:hAnsi="Arial" w:cs="Arial"/>
          <w:i/>
          <w:sz w:val="20"/>
        </w:rPr>
      </w:pPr>
      <w:r w:rsidRPr="006B6D74">
        <w:rPr>
          <w:rFonts w:ascii="Arial" w:hAnsi="Arial" w:cs="Arial"/>
          <w:i/>
          <w:sz w:val="20"/>
        </w:rPr>
        <w:t>Corporate Governance Matters</w:t>
      </w:r>
    </w:p>
    <w:p w:rsidR="00A069B0" w:rsidRDefault="00A069B0" w:rsidP="00A069B0">
      <w:pPr>
        <w:rPr>
          <w:rFonts w:cs="Arial"/>
          <w:sz w:val="20"/>
          <w:szCs w:val="20"/>
        </w:rPr>
      </w:pPr>
      <w:r>
        <w:rPr>
          <w:rFonts w:cs="Arial"/>
          <w:sz w:val="20"/>
          <w:szCs w:val="20"/>
        </w:rPr>
        <w:t>We shall:</w:t>
      </w:r>
    </w:p>
    <w:p w:rsidR="00A069B0" w:rsidRDefault="00A069B0" w:rsidP="00A069B0">
      <w:pPr>
        <w:pStyle w:val="CorpLDL3"/>
        <w:numPr>
          <w:ilvl w:val="2"/>
          <w:numId w:val="3"/>
        </w:numPr>
        <w:rPr>
          <w:rFonts w:ascii="Arial" w:hAnsi="Arial" w:cs="Arial"/>
          <w:sz w:val="20"/>
          <w:szCs w:val="20"/>
        </w:rPr>
      </w:pPr>
      <w:r>
        <w:rPr>
          <w:rFonts w:ascii="Arial" w:hAnsi="Arial" w:cs="Arial"/>
          <w:sz w:val="20"/>
          <w:szCs w:val="20"/>
        </w:rPr>
        <w:t>use our best endeavours to have each of the Portfolio Companies adhere to the corporate governance code or similar provisions pursuant to the relevant laws of the country in which such Portfolio Company</w:t>
      </w:r>
      <w:r>
        <w:rPr>
          <w:rFonts w:ascii="Arial" w:hAnsi="Arial" w:cs="Arial"/>
          <w:b/>
          <w:sz w:val="20"/>
          <w:szCs w:val="20"/>
        </w:rPr>
        <w:t xml:space="preserve"> </w:t>
      </w:r>
      <w:r>
        <w:rPr>
          <w:rFonts w:ascii="Arial" w:hAnsi="Arial" w:cs="Arial"/>
          <w:sz w:val="20"/>
          <w:szCs w:val="20"/>
        </w:rPr>
        <w:t xml:space="preserve">is established; </w:t>
      </w:r>
    </w:p>
    <w:p w:rsidR="00A069B0" w:rsidRPr="0025460B" w:rsidRDefault="00A069B0" w:rsidP="00A069B0">
      <w:pPr>
        <w:pStyle w:val="CorpLDL3"/>
        <w:spacing w:after="240"/>
        <w:rPr>
          <w:rFonts w:ascii="Arial" w:hAnsi="Arial" w:cs="Arial"/>
          <w:i/>
          <w:sz w:val="20"/>
        </w:rPr>
      </w:pPr>
      <w:r w:rsidRPr="0025460B">
        <w:rPr>
          <w:rFonts w:ascii="Arial" w:hAnsi="Arial" w:cs="Arial"/>
          <w:sz w:val="20"/>
          <w:szCs w:val="20"/>
        </w:rPr>
        <w:t>use our best endeavours to appoint and train a Corporate Governance Specialist (as defined further below) to develop and maintain a Corporate Governance Assessment Framework (as defined further below).</w:t>
      </w:r>
    </w:p>
    <w:p w:rsidR="00A069B0" w:rsidRPr="0025460B" w:rsidRDefault="00A069B0" w:rsidP="00A069B0">
      <w:pPr>
        <w:pStyle w:val="MultiLevelL1"/>
        <w:numPr>
          <w:ilvl w:val="0"/>
          <w:numId w:val="4"/>
        </w:numPr>
        <w:tabs>
          <w:tab w:val="clear" w:pos="1080"/>
        </w:tabs>
        <w:spacing w:before="120"/>
        <w:ind w:left="709" w:hanging="709"/>
        <w:jc w:val="both"/>
        <w:rPr>
          <w:rFonts w:ascii="Arial" w:hAnsi="Arial" w:cs="Arial"/>
          <w:i/>
          <w:sz w:val="20"/>
        </w:rPr>
      </w:pPr>
      <w:bookmarkStart w:id="0" w:name="_Hlk520384661"/>
      <w:r w:rsidRPr="0025460B">
        <w:rPr>
          <w:rFonts w:ascii="Arial" w:hAnsi="Arial" w:cs="Arial"/>
          <w:i/>
          <w:sz w:val="20"/>
        </w:rPr>
        <w:t xml:space="preserve">Appointment of a Corporate Governance Specialist </w:t>
      </w:r>
    </w:p>
    <w:p w:rsidR="00A069B0" w:rsidRPr="0025460B" w:rsidRDefault="00A069B0" w:rsidP="00A069B0">
      <w:pPr>
        <w:spacing w:after="240"/>
        <w:jc w:val="both"/>
        <w:rPr>
          <w:rFonts w:cs="Arial"/>
          <w:b/>
          <w:sz w:val="20"/>
          <w:szCs w:val="20"/>
        </w:rPr>
      </w:pPr>
      <w:r w:rsidRPr="0025460B">
        <w:rPr>
          <w:rFonts w:cs="Arial"/>
          <w:sz w:val="20"/>
          <w:szCs w:val="20"/>
        </w:rPr>
        <w:t>We shall use our best endeavours to appoint and train a corporate governance specialist, which means either (i) an employee of one or more of us having a specific corporate governance knowledge and expertise, or (ii) an investment staff member or environmental and/or social specialist of one or more of us responsible for the development and maintenance of the Corporate Governance Assessment Framework (as defined below) and capable of applying and operating the same (the “</w:t>
      </w:r>
      <w:r w:rsidRPr="0025460B">
        <w:rPr>
          <w:rFonts w:cs="Arial"/>
          <w:b/>
          <w:sz w:val="20"/>
          <w:szCs w:val="20"/>
        </w:rPr>
        <w:t>Corporate Governance Specialist</w:t>
      </w:r>
      <w:r w:rsidRPr="0025460B">
        <w:rPr>
          <w:rFonts w:cs="Arial"/>
          <w:sz w:val="20"/>
          <w:szCs w:val="20"/>
        </w:rPr>
        <w:t xml:space="preserve">”). The Corporate Governance Specialist shall apply and operate the Corporate Governance Assessment Framework for each </w:t>
      </w:r>
      <w:r w:rsidR="004E5AE8">
        <w:rPr>
          <w:rFonts w:cs="Arial"/>
          <w:sz w:val="20"/>
          <w:szCs w:val="20"/>
        </w:rPr>
        <w:t>(target) [</w:t>
      </w:r>
      <w:r w:rsidRPr="0025460B">
        <w:rPr>
          <w:rFonts w:cs="Arial"/>
          <w:sz w:val="20"/>
          <w:szCs w:val="20"/>
        </w:rPr>
        <w:t>Portfolio Company] and contractually agree with the [Portfolio Company] its contribution to and cooperation with the requirements as set out below.</w:t>
      </w:r>
    </w:p>
    <w:bookmarkEnd w:id="0"/>
    <w:p w:rsidR="00A069B0" w:rsidRPr="0025460B" w:rsidRDefault="00A069B0" w:rsidP="00A069B0">
      <w:pPr>
        <w:pStyle w:val="MultiLevelL1"/>
        <w:numPr>
          <w:ilvl w:val="0"/>
          <w:numId w:val="4"/>
        </w:numPr>
        <w:tabs>
          <w:tab w:val="clear" w:pos="1080"/>
        </w:tabs>
        <w:spacing w:before="120"/>
        <w:ind w:left="709" w:hanging="709"/>
        <w:jc w:val="both"/>
        <w:rPr>
          <w:rFonts w:ascii="Arial" w:hAnsi="Arial" w:cs="Arial"/>
          <w:i/>
          <w:sz w:val="20"/>
        </w:rPr>
      </w:pPr>
      <w:r w:rsidRPr="0025460B">
        <w:rPr>
          <w:rFonts w:ascii="Arial" w:hAnsi="Arial" w:cs="Arial"/>
          <w:i/>
          <w:sz w:val="20"/>
        </w:rPr>
        <w:t>The Corporate Governance Assessment Framework</w:t>
      </w:r>
    </w:p>
    <w:p w:rsidR="00A069B0" w:rsidRPr="0025460B" w:rsidRDefault="00A069B0" w:rsidP="00A069B0">
      <w:pPr>
        <w:ind w:left="709" w:hanging="709"/>
        <w:rPr>
          <w:rFonts w:cs="Arial"/>
          <w:sz w:val="20"/>
          <w:szCs w:val="20"/>
        </w:rPr>
      </w:pPr>
      <w:r w:rsidRPr="0025460B">
        <w:rPr>
          <w:rFonts w:cs="Arial"/>
          <w:sz w:val="20"/>
          <w:szCs w:val="20"/>
        </w:rPr>
        <w:t>3.1</w:t>
      </w:r>
      <w:r w:rsidRPr="0025460B">
        <w:rPr>
          <w:rFonts w:cs="Arial"/>
          <w:sz w:val="20"/>
          <w:szCs w:val="20"/>
        </w:rPr>
        <w:tab/>
      </w:r>
      <w:r w:rsidRPr="0025460B">
        <w:rPr>
          <w:rFonts w:cs="Arial"/>
          <w:i/>
          <w:sz w:val="20"/>
          <w:szCs w:val="20"/>
        </w:rPr>
        <w:t>Phase 1 – Prior to due diligence</w:t>
      </w:r>
    </w:p>
    <w:p w:rsidR="00A069B0" w:rsidRPr="0025460B" w:rsidRDefault="00A069B0" w:rsidP="00A069B0">
      <w:pPr>
        <w:ind w:left="709" w:hanging="709"/>
        <w:rPr>
          <w:rFonts w:cs="Arial"/>
          <w:sz w:val="20"/>
          <w:szCs w:val="20"/>
        </w:rPr>
      </w:pPr>
    </w:p>
    <w:p w:rsidR="00A069B0" w:rsidRPr="0025460B" w:rsidRDefault="00A069B0" w:rsidP="00A069B0">
      <w:pPr>
        <w:jc w:val="both"/>
        <w:rPr>
          <w:rFonts w:cs="Arial"/>
          <w:sz w:val="20"/>
          <w:szCs w:val="20"/>
        </w:rPr>
      </w:pPr>
      <w:r w:rsidRPr="0025460B">
        <w:rPr>
          <w:rFonts w:cs="Arial"/>
          <w:sz w:val="20"/>
          <w:szCs w:val="20"/>
        </w:rPr>
        <w:t>Prior to due diligence the Corporate Governance Specialist will assess the target Portfolio Company's corporate governance status by scoring the following items on a low -, medium - or high</w:t>
      </w:r>
      <w:r w:rsidR="004E5AE8">
        <w:rPr>
          <w:rFonts w:cs="Arial"/>
          <w:sz w:val="20"/>
          <w:szCs w:val="20"/>
        </w:rPr>
        <w:t>-</w:t>
      </w:r>
      <w:r w:rsidRPr="0025460B">
        <w:rPr>
          <w:rFonts w:cs="Arial"/>
          <w:sz w:val="20"/>
          <w:szCs w:val="20"/>
        </w:rPr>
        <w:t>risk level:</w:t>
      </w:r>
    </w:p>
    <w:p w:rsidR="00A069B0" w:rsidRPr="0025460B" w:rsidRDefault="00A069B0" w:rsidP="00A069B0">
      <w:pPr>
        <w:numPr>
          <w:ilvl w:val="1"/>
          <w:numId w:val="5"/>
        </w:numPr>
        <w:tabs>
          <w:tab w:val="clear" w:pos="1800"/>
        </w:tabs>
        <w:spacing w:before="120"/>
        <w:ind w:left="1418" w:hanging="709"/>
        <w:jc w:val="both"/>
        <w:rPr>
          <w:rFonts w:cs="Arial"/>
          <w:sz w:val="20"/>
          <w:szCs w:val="20"/>
        </w:rPr>
      </w:pPr>
      <w:r w:rsidRPr="0025460B">
        <w:rPr>
          <w:rFonts w:cs="Arial"/>
          <w:sz w:val="20"/>
          <w:szCs w:val="20"/>
        </w:rPr>
        <w:t>target Portfolio Company's commitment to corporate governance;</w:t>
      </w:r>
    </w:p>
    <w:p w:rsidR="00A069B0" w:rsidRPr="0025460B" w:rsidRDefault="00A069B0" w:rsidP="00A069B0">
      <w:pPr>
        <w:numPr>
          <w:ilvl w:val="1"/>
          <w:numId w:val="5"/>
        </w:numPr>
        <w:tabs>
          <w:tab w:val="clear" w:pos="1800"/>
        </w:tabs>
        <w:spacing w:before="120"/>
        <w:ind w:left="1418" w:hanging="709"/>
        <w:jc w:val="both"/>
        <w:rPr>
          <w:rFonts w:cs="Arial"/>
          <w:sz w:val="20"/>
          <w:szCs w:val="20"/>
        </w:rPr>
      </w:pPr>
      <w:r w:rsidRPr="0025460B">
        <w:rPr>
          <w:rFonts w:cs="Arial"/>
          <w:sz w:val="20"/>
          <w:szCs w:val="20"/>
        </w:rPr>
        <w:t xml:space="preserve">structure and functioning of the target Portfolio Company's </w:t>
      </w:r>
      <w:r w:rsidR="00AB3299">
        <w:rPr>
          <w:rFonts w:cs="Arial"/>
          <w:sz w:val="20"/>
          <w:szCs w:val="20"/>
        </w:rPr>
        <w:t>[</w:t>
      </w:r>
      <w:r w:rsidRPr="0025460B">
        <w:rPr>
          <w:rFonts w:cs="Arial"/>
          <w:sz w:val="20"/>
          <w:szCs w:val="20"/>
        </w:rPr>
        <w:t>supervisory board</w:t>
      </w:r>
      <w:r w:rsidR="00AB3299">
        <w:rPr>
          <w:rFonts w:cs="Arial"/>
          <w:sz w:val="20"/>
          <w:szCs w:val="20"/>
        </w:rPr>
        <w:t>]</w:t>
      </w:r>
      <w:proofErr w:type="gramStart"/>
      <w:r w:rsidR="00AB3299">
        <w:rPr>
          <w:rFonts w:cs="Arial"/>
          <w:sz w:val="20"/>
          <w:szCs w:val="20"/>
        </w:rPr>
        <w:t>/[</w:t>
      </w:r>
      <w:proofErr w:type="gramEnd"/>
      <w:r w:rsidRPr="0025460B">
        <w:rPr>
          <w:rFonts w:cs="Arial"/>
          <w:sz w:val="20"/>
          <w:szCs w:val="20"/>
        </w:rPr>
        <w:t>board of directors</w:t>
      </w:r>
      <w:r w:rsidR="00AB3299">
        <w:rPr>
          <w:rFonts w:cs="Arial"/>
          <w:sz w:val="20"/>
          <w:szCs w:val="20"/>
        </w:rPr>
        <w:t>]</w:t>
      </w:r>
      <w:r w:rsidRPr="0025460B">
        <w:rPr>
          <w:rFonts w:cs="Arial"/>
          <w:sz w:val="20"/>
          <w:szCs w:val="20"/>
        </w:rPr>
        <w:t>;</w:t>
      </w:r>
    </w:p>
    <w:p w:rsidR="00A069B0" w:rsidRPr="0025460B" w:rsidRDefault="00A069B0" w:rsidP="00A069B0">
      <w:pPr>
        <w:numPr>
          <w:ilvl w:val="1"/>
          <w:numId w:val="5"/>
        </w:numPr>
        <w:tabs>
          <w:tab w:val="clear" w:pos="1800"/>
        </w:tabs>
        <w:spacing w:before="120"/>
        <w:ind w:left="1418" w:hanging="709"/>
        <w:jc w:val="both"/>
        <w:rPr>
          <w:rFonts w:cs="Arial"/>
          <w:sz w:val="20"/>
          <w:szCs w:val="20"/>
        </w:rPr>
      </w:pPr>
      <w:r w:rsidRPr="0025460B">
        <w:rPr>
          <w:rFonts w:cs="Arial"/>
          <w:sz w:val="20"/>
          <w:szCs w:val="20"/>
        </w:rPr>
        <w:t>target Portfolio Company's control environment and processes;</w:t>
      </w:r>
    </w:p>
    <w:p w:rsidR="00A069B0" w:rsidRPr="0025460B" w:rsidRDefault="00A069B0" w:rsidP="00A069B0">
      <w:pPr>
        <w:numPr>
          <w:ilvl w:val="1"/>
          <w:numId w:val="5"/>
        </w:numPr>
        <w:tabs>
          <w:tab w:val="clear" w:pos="1800"/>
        </w:tabs>
        <w:spacing w:before="120"/>
        <w:ind w:left="1418" w:hanging="709"/>
        <w:jc w:val="both"/>
        <w:rPr>
          <w:rFonts w:cs="Arial"/>
          <w:sz w:val="20"/>
          <w:szCs w:val="20"/>
        </w:rPr>
      </w:pPr>
      <w:r w:rsidRPr="0025460B">
        <w:rPr>
          <w:rFonts w:cs="Arial"/>
          <w:sz w:val="20"/>
          <w:szCs w:val="20"/>
        </w:rPr>
        <w:t>target Portfolio Company's transparency and disclosure; and</w:t>
      </w:r>
    </w:p>
    <w:p w:rsidR="00A069B0" w:rsidRPr="0025460B" w:rsidRDefault="00A069B0" w:rsidP="00A069B0">
      <w:pPr>
        <w:numPr>
          <w:ilvl w:val="1"/>
          <w:numId w:val="5"/>
        </w:numPr>
        <w:tabs>
          <w:tab w:val="clear" w:pos="1800"/>
        </w:tabs>
        <w:spacing w:before="120" w:after="120"/>
        <w:ind w:left="1418" w:hanging="709"/>
        <w:jc w:val="both"/>
        <w:rPr>
          <w:rFonts w:cs="Arial"/>
          <w:sz w:val="20"/>
          <w:szCs w:val="20"/>
        </w:rPr>
      </w:pPr>
      <w:r w:rsidRPr="0025460B">
        <w:rPr>
          <w:rFonts w:cs="Arial"/>
          <w:sz w:val="20"/>
          <w:szCs w:val="20"/>
        </w:rPr>
        <w:t xml:space="preserve">rights of </w:t>
      </w:r>
      <w:r w:rsidR="00AB3299">
        <w:rPr>
          <w:rFonts w:cs="Arial"/>
          <w:sz w:val="20"/>
          <w:szCs w:val="20"/>
        </w:rPr>
        <w:t xml:space="preserve">minority </w:t>
      </w:r>
      <w:r w:rsidRPr="0025460B">
        <w:rPr>
          <w:rFonts w:cs="Arial"/>
          <w:sz w:val="20"/>
          <w:szCs w:val="20"/>
        </w:rPr>
        <w:t>shareholders of the target Portfolio Company,</w:t>
      </w:r>
    </w:p>
    <w:p w:rsidR="00AD5226" w:rsidRDefault="00A069B0" w:rsidP="00A069B0">
      <w:pPr>
        <w:jc w:val="both"/>
        <w:rPr>
          <w:rFonts w:cs="Arial"/>
          <w:sz w:val="20"/>
          <w:szCs w:val="20"/>
        </w:rPr>
      </w:pPr>
      <w:r w:rsidRPr="0025460B">
        <w:rPr>
          <w:rFonts w:cs="Arial"/>
          <w:sz w:val="20"/>
          <w:szCs w:val="20"/>
        </w:rPr>
        <w:t xml:space="preserve">or alternatively fill out the FMO ESG Toolkit for </w:t>
      </w:r>
      <w:r w:rsidR="00AD5226">
        <w:rPr>
          <w:rFonts w:cs="Arial"/>
          <w:sz w:val="20"/>
          <w:szCs w:val="20"/>
        </w:rPr>
        <w:t>Private Equity (supported by the relevant manual)</w:t>
      </w:r>
      <w:r w:rsidRPr="0025460B">
        <w:rPr>
          <w:rFonts w:cs="Arial"/>
          <w:sz w:val="20"/>
          <w:szCs w:val="20"/>
        </w:rPr>
        <w:t xml:space="preserve">, which can to be downloaded, free of charge, from FMO’s website at </w:t>
      </w:r>
      <w:hyperlink r:id="rId5" w:history="1">
        <w:r w:rsidR="00AD5226" w:rsidRPr="004B3BD9">
          <w:rPr>
            <w:rStyle w:val="Hyperlink"/>
            <w:rFonts w:cs="Arial"/>
            <w:sz w:val="20"/>
            <w:szCs w:val="20"/>
          </w:rPr>
          <w:t>https://www.fmo.nl/es</w:t>
        </w:r>
        <w:r w:rsidR="00AD5226" w:rsidRPr="004B3BD9">
          <w:rPr>
            <w:rStyle w:val="Hyperlink"/>
            <w:rFonts w:cs="Arial"/>
            <w:sz w:val="20"/>
            <w:szCs w:val="20"/>
          </w:rPr>
          <w:t>t</w:t>
        </w:r>
        <w:r w:rsidR="00AD5226" w:rsidRPr="004B3BD9">
          <w:rPr>
            <w:rStyle w:val="Hyperlink"/>
            <w:rFonts w:cs="Arial"/>
            <w:sz w:val="20"/>
            <w:szCs w:val="20"/>
          </w:rPr>
          <w:t>oolkit</w:t>
        </w:r>
      </w:hyperlink>
      <w:r w:rsidR="00AD5226">
        <w:rPr>
          <w:rFonts w:cs="Arial"/>
          <w:sz w:val="20"/>
          <w:szCs w:val="20"/>
        </w:rPr>
        <w:t>.</w:t>
      </w:r>
    </w:p>
    <w:p w:rsidR="00AD5226" w:rsidRDefault="00AD5226" w:rsidP="00A069B0">
      <w:pPr>
        <w:jc w:val="both"/>
        <w:rPr>
          <w:rFonts w:cs="Arial"/>
          <w:sz w:val="20"/>
          <w:szCs w:val="20"/>
        </w:rPr>
      </w:pPr>
    </w:p>
    <w:p w:rsidR="00A069B0" w:rsidRPr="0025460B" w:rsidRDefault="00A069B0" w:rsidP="00A069B0">
      <w:pPr>
        <w:jc w:val="both"/>
        <w:rPr>
          <w:rFonts w:cs="Arial"/>
          <w:b/>
          <w:sz w:val="20"/>
          <w:szCs w:val="20"/>
        </w:rPr>
      </w:pPr>
      <w:r w:rsidRPr="0025460B">
        <w:rPr>
          <w:rFonts w:cs="Arial"/>
          <w:sz w:val="20"/>
          <w:szCs w:val="20"/>
        </w:rPr>
        <w:t>If the Corporate Governance Specialist considers the corporate governance status of the target Portfolio Company as a high risk, the Corporate Governance Specialist can decide to perform a further corporate governance due diligence on the target Portfolio Company.</w:t>
      </w:r>
    </w:p>
    <w:p w:rsidR="00A069B0" w:rsidRPr="0025460B" w:rsidRDefault="00A069B0" w:rsidP="00A069B0">
      <w:pPr>
        <w:ind w:left="567"/>
        <w:jc w:val="both"/>
        <w:rPr>
          <w:rFonts w:cs="Arial"/>
          <w:sz w:val="20"/>
          <w:szCs w:val="20"/>
          <w:u w:val="single"/>
        </w:rPr>
      </w:pPr>
    </w:p>
    <w:p w:rsidR="00A069B0" w:rsidRPr="0025460B" w:rsidRDefault="00A069B0" w:rsidP="00A069B0">
      <w:pPr>
        <w:jc w:val="both"/>
        <w:rPr>
          <w:rFonts w:cs="Arial"/>
          <w:i/>
          <w:sz w:val="20"/>
          <w:szCs w:val="20"/>
        </w:rPr>
      </w:pPr>
      <w:r w:rsidRPr="0025460B">
        <w:rPr>
          <w:rFonts w:cs="Arial"/>
          <w:i/>
          <w:sz w:val="20"/>
          <w:szCs w:val="20"/>
        </w:rPr>
        <w:t>3.2</w:t>
      </w:r>
      <w:r w:rsidRPr="0025460B">
        <w:rPr>
          <w:rFonts w:cs="Arial"/>
          <w:i/>
          <w:sz w:val="20"/>
          <w:szCs w:val="20"/>
        </w:rPr>
        <w:tab/>
        <w:t>Phase 2 – During due diligence</w:t>
      </w:r>
    </w:p>
    <w:p w:rsidR="00A069B0" w:rsidRPr="0025460B" w:rsidRDefault="00A069B0" w:rsidP="00A069B0">
      <w:pPr>
        <w:ind w:left="567"/>
        <w:jc w:val="both"/>
        <w:rPr>
          <w:rFonts w:cs="Arial"/>
          <w:sz w:val="20"/>
          <w:szCs w:val="20"/>
        </w:rPr>
      </w:pPr>
    </w:p>
    <w:p w:rsidR="00A069B0" w:rsidRPr="0025460B" w:rsidRDefault="00A069B0" w:rsidP="00A069B0">
      <w:pPr>
        <w:jc w:val="both"/>
        <w:rPr>
          <w:rFonts w:cs="Arial"/>
          <w:sz w:val="20"/>
          <w:szCs w:val="20"/>
          <w:u w:val="single"/>
        </w:rPr>
      </w:pPr>
      <w:r w:rsidRPr="0025460B">
        <w:rPr>
          <w:rFonts w:cs="Arial"/>
          <w:sz w:val="20"/>
          <w:szCs w:val="20"/>
        </w:rPr>
        <w:t xml:space="preserve">During due diligence of the target Portfolio Company the Corporate Governance Specialist will further discuss with the target Portfolio Companies' relevant members of the supervisory board or the board of directors, as the case may be, and employees, external auditor(s) or other relevant external advisors and any other </w:t>
      </w:r>
      <w:r w:rsidR="004E5AE8">
        <w:rPr>
          <w:rFonts w:cs="Arial"/>
          <w:sz w:val="20"/>
          <w:szCs w:val="20"/>
        </w:rPr>
        <w:t xml:space="preserve">target </w:t>
      </w:r>
      <w:r w:rsidRPr="0025460B">
        <w:rPr>
          <w:rFonts w:cs="Arial"/>
          <w:sz w:val="20"/>
          <w:szCs w:val="20"/>
        </w:rPr>
        <w:t>Portfolio Company personnel the Corporate Governance Specialist deems fit, the concerns raised due to a high</w:t>
      </w:r>
      <w:r w:rsidR="004E5AE8">
        <w:rPr>
          <w:rFonts w:cs="Arial"/>
          <w:sz w:val="20"/>
          <w:szCs w:val="20"/>
        </w:rPr>
        <w:t>-</w:t>
      </w:r>
      <w:r w:rsidRPr="0025460B">
        <w:rPr>
          <w:rFonts w:cs="Arial"/>
          <w:sz w:val="20"/>
          <w:szCs w:val="20"/>
        </w:rPr>
        <w:t>risk assessment. The Corporate Governance Specialist will suggest to and negotiate with the target Portfolio Company's relevant members of the supervisory board or the board of directors</w:t>
      </w:r>
      <w:proofErr w:type="gramStart"/>
      <w:r w:rsidRPr="0025460B">
        <w:rPr>
          <w:rFonts w:cs="Arial"/>
          <w:sz w:val="20"/>
          <w:szCs w:val="20"/>
        </w:rPr>
        <w:t>, as the case may be, and/or</w:t>
      </w:r>
      <w:proofErr w:type="gramEnd"/>
      <w:r w:rsidRPr="0025460B">
        <w:rPr>
          <w:rFonts w:cs="Arial"/>
          <w:sz w:val="20"/>
          <w:szCs w:val="20"/>
        </w:rPr>
        <w:t xml:space="preserve"> employees</w:t>
      </w:r>
      <w:r w:rsidR="004E5AE8">
        <w:rPr>
          <w:rFonts w:cs="Arial"/>
          <w:sz w:val="20"/>
          <w:szCs w:val="20"/>
        </w:rPr>
        <w:t>,</w:t>
      </w:r>
      <w:r w:rsidRPr="0025460B">
        <w:rPr>
          <w:rFonts w:cs="Arial"/>
          <w:sz w:val="20"/>
          <w:szCs w:val="20"/>
        </w:rPr>
        <w:t xml:space="preserve"> remedial actions to be taken by the same in order to mitigate the high</w:t>
      </w:r>
      <w:r w:rsidR="004E5AE8">
        <w:rPr>
          <w:rFonts w:cs="Arial"/>
          <w:sz w:val="20"/>
          <w:szCs w:val="20"/>
        </w:rPr>
        <w:t>-</w:t>
      </w:r>
      <w:r w:rsidRPr="0025460B">
        <w:rPr>
          <w:rFonts w:cs="Arial"/>
          <w:sz w:val="20"/>
          <w:szCs w:val="20"/>
        </w:rPr>
        <w:t xml:space="preserve">risk assessment level. If deemed necessary by the Corporate Governance Specialist such remedial actions can be voluntarily or contractually agreed upon between the Fund and </w:t>
      </w:r>
      <w:r w:rsidRPr="0025460B">
        <w:rPr>
          <w:rFonts w:cs="Arial"/>
          <w:sz w:val="20"/>
          <w:szCs w:val="20"/>
        </w:rPr>
        <w:lastRenderedPageBreak/>
        <w:t xml:space="preserve">the </w:t>
      </w:r>
      <w:r w:rsidR="004E5AE8">
        <w:rPr>
          <w:rFonts w:cs="Arial"/>
          <w:sz w:val="20"/>
          <w:szCs w:val="20"/>
        </w:rPr>
        <w:t xml:space="preserve">target </w:t>
      </w:r>
      <w:r w:rsidRPr="0025460B">
        <w:rPr>
          <w:rFonts w:cs="Arial"/>
          <w:sz w:val="20"/>
          <w:szCs w:val="20"/>
        </w:rPr>
        <w:t>Portfolio Company</w:t>
      </w:r>
      <w:r w:rsidRPr="0025460B">
        <w:rPr>
          <w:rFonts w:cs="Arial"/>
          <w:b/>
          <w:sz w:val="20"/>
          <w:szCs w:val="20"/>
        </w:rPr>
        <w:t xml:space="preserve"> </w:t>
      </w:r>
      <w:r w:rsidRPr="0025460B">
        <w:rPr>
          <w:rFonts w:cs="Arial"/>
          <w:sz w:val="20"/>
          <w:szCs w:val="20"/>
        </w:rPr>
        <w:t xml:space="preserve">in a remedial action plan allowing for progress monitoring of the relevant remedial actions. </w:t>
      </w:r>
    </w:p>
    <w:p w:rsidR="00A069B0" w:rsidRPr="0025460B" w:rsidRDefault="00A069B0" w:rsidP="00A069B0">
      <w:pPr>
        <w:ind w:left="567"/>
        <w:jc w:val="both"/>
        <w:rPr>
          <w:rFonts w:cs="Arial"/>
          <w:sz w:val="20"/>
          <w:szCs w:val="20"/>
          <w:u w:val="single"/>
        </w:rPr>
      </w:pPr>
    </w:p>
    <w:p w:rsidR="00A069B0" w:rsidRPr="0025460B" w:rsidRDefault="00A069B0" w:rsidP="00A069B0">
      <w:pPr>
        <w:jc w:val="both"/>
        <w:rPr>
          <w:rFonts w:cs="Arial"/>
          <w:i/>
          <w:sz w:val="20"/>
          <w:szCs w:val="20"/>
        </w:rPr>
      </w:pPr>
      <w:r w:rsidRPr="0025460B">
        <w:rPr>
          <w:rFonts w:cs="Arial"/>
          <w:i/>
          <w:sz w:val="20"/>
          <w:szCs w:val="20"/>
        </w:rPr>
        <w:t>3.2</w:t>
      </w:r>
      <w:r w:rsidRPr="0025460B">
        <w:rPr>
          <w:rFonts w:cs="Arial"/>
          <w:i/>
          <w:sz w:val="20"/>
          <w:szCs w:val="20"/>
        </w:rPr>
        <w:tab/>
        <w:t>Phase 3 - Final proposal</w:t>
      </w:r>
    </w:p>
    <w:p w:rsidR="00A069B0" w:rsidRPr="0025460B" w:rsidRDefault="00A069B0" w:rsidP="00A069B0">
      <w:pPr>
        <w:ind w:left="567"/>
        <w:jc w:val="both"/>
        <w:rPr>
          <w:rFonts w:cs="Arial"/>
          <w:sz w:val="20"/>
          <w:szCs w:val="20"/>
        </w:rPr>
      </w:pPr>
    </w:p>
    <w:p w:rsidR="00A069B0" w:rsidRPr="0025460B" w:rsidRDefault="00A069B0" w:rsidP="00A069B0">
      <w:pPr>
        <w:jc w:val="both"/>
        <w:rPr>
          <w:rFonts w:cs="Arial"/>
          <w:b/>
          <w:sz w:val="20"/>
          <w:szCs w:val="20"/>
        </w:rPr>
      </w:pPr>
      <w:r w:rsidRPr="0025460B">
        <w:rPr>
          <w:rFonts w:cs="Arial"/>
          <w:sz w:val="20"/>
          <w:szCs w:val="20"/>
        </w:rPr>
        <w:t>The results of the corporate governance assessment prior and during due diligence and the remedial action plan, if already agreed upon, will be summarised in the final investment proposal for the investment in the target Portfolio Company, thus highlighting any corporate governance risks and opportunities in respect of such investment. If no remedial action plan has been agreed upon, such plan can be conditional to the intended investment or can be agreed upon after the investment has been made, if need be. The above summary of results can be used for evaluation, benchmarking and progress review purposes when monitoring the Portfolio Company.</w:t>
      </w:r>
      <w:r w:rsidRPr="0025460B">
        <w:rPr>
          <w:rFonts w:cs="Arial"/>
          <w:b/>
          <w:sz w:val="20"/>
          <w:szCs w:val="20"/>
        </w:rPr>
        <w:t>]</w:t>
      </w:r>
    </w:p>
    <w:p w:rsidR="00A069B0" w:rsidRPr="0025460B" w:rsidRDefault="00A069B0" w:rsidP="00A069B0">
      <w:pPr>
        <w:ind w:left="567"/>
        <w:jc w:val="both"/>
        <w:rPr>
          <w:rFonts w:cs="Arial"/>
          <w:sz w:val="20"/>
          <w:szCs w:val="20"/>
        </w:rPr>
      </w:pPr>
    </w:p>
    <w:p w:rsidR="00A069B0" w:rsidRPr="0025460B" w:rsidRDefault="00A069B0" w:rsidP="00A069B0">
      <w:pPr>
        <w:pStyle w:val="MultiLevelL1"/>
        <w:numPr>
          <w:ilvl w:val="0"/>
          <w:numId w:val="4"/>
        </w:numPr>
        <w:tabs>
          <w:tab w:val="clear" w:pos="1080"/>
        </w:tabs>
        <w:spacing w:before="120"/>
        <w:ind w:left="709" w:hanging="709"/>
        <w:jc w:val="both"/>
        <w:rPr>
          <w:rFonts w:ascii="Arial" w:hAnsi="Arial" w:cs="Arial"/>
          <w:i/>
          <w:sz w:val="20"/>
        </w:rPr>
      </w:pPr>
      <w:r w:rsidRPr="0025460B">
        <w:rPr>
          <w:rFonts w:ascii="Arial" w:hAnsi="Arial" w:cs="Arial"/>
          <w:sz w:val="20"/>
        </w:rPr>
        <w:t>[</w:t>
      </w:r>
      <w:r w:rsidRPr="0025460B">
        <w:rPr>
          <w:rFonts w:ascii="Arial" w:hAnsi="Arial" w:cs="Arial"/>
          <w:i/>
          <w:sz w:val="20"/>
        </w:rPr>
        <w:t>Reporting</w:t>
      </w:r>
    </w:p>
    <w:p w:rsidR="00A069B0" w:rsidRPr="0025460B" w:rsidRDefault="00A069B0" w:rsidP="00A069B0">
      <w:pPr>
        <w:jc w:val="both"/>
        <w:rPr>
          <w:rFonts w:cs="Arial"/>
          <w:sz w:val="20"/>
          <w:szCs w:val="20"/>
        </w:rPr>
      </w:pPr>
      <w:r w:rsidRPr="0025460B">
        <w:rPr>
          <w:rFonts w:cs="Arial"/>
          <w:sz w:val="20"/>
          <w:szCs w:val="20"/>
        </w:rPr>
        <w:t>We shall report to the Investor annually, no later than the date required for delivery to Investors of the audited annual financial statements pursuant to the terms of the [LPA</w:t>
      </w:r>
      <w:r w:rsidR="004E5AE8">
        <w:rPr>
          <w:rFonts w:cs="Arial"/>
          <w:sz w:val="20"/>
          <w:szCs w:val="20"/>
        </w:rPr>
        <w:t>]</w:t>
      </w:r>
      <w:r w:rsidRPr="0025460B">
        <w:rPr>
          <w:rFonts w:cs="Arial"/>
          <w:sz w:val="20"/>
          <w:szCs w:val="20"/>
        </w:rPr>
        <w:t>/</w:t>
      </w:r>
      <w:r w:rsidR="004E5AE8">
        <w:rPr>
          <w:rFonts w:cs="Arial"/>
          <w:sz w:val="20"/>
          <w:szCs w:val="20"/>
        </w:rPr>
        <w:t>[</w:t>
      </w:r>
      <w:bookmarkStart w:id="1" w:name="_GoBack"/>
      <w:bookmarkEnd w:id="1"/>
      <w:r w:rsidRPr="0025460B">
        <w:rPr>
          <w:rFonts w:cs="Arial"/>
          <w:sz w:val="20"/>
          <w:szCs w:val="20"/>
        </w:rPr>
        <w:t>SHA], an overview of all corporate governance assessments of, and interventions in, all (actual and target) Portfolio Companies during the relevant (financial) year in a format as set out below.</w:t>
      </w:r>
    </w:p>
    <w:p w:rsidR="00A069B0" w:rsidRPr="0025460B" w:rsidRDefault="00A069B0" w:rsidP="00A069B0">
      <w:pPr>
        <w:tabs>
          <w:tab w:val="left" w:pos="567"/>
        </w:tabs>
        <w:ind w:left="567"/>
        <w:jc w:val="both"/>
        <w:rPr>
          <w:rFonts w:cs="Arial"/>
          <w:sz w:val="20"/>
          <w:szCs w:val="20"/>
        </w:rPr>
      </w:pPr>
    </w:p>
    <w:tbl>
      <w:tblPr>
        <w:tblStyle w:val="TableGrid"/>
        <w:tblW w:w="9356" w:type="dxa"/>
        <w:tblInd w:w="-5" w:type="dxa"/>
        <w:tblLook w:val="04A0" w:firstRow="1" w:lastRow="0" w:firstColumn="1" w:lastColumn="0" w:noHBand="0" w:noVBand="1"/>
      </w:tblPr>
      <w:tblGrid>
        <w:gridCol w:w="1222"/>
        <w:gridCol w:w="2180"/>
        <w:gridCol w:w="2268"/>
        <w:gridCol w:w="2268"/>
        <w:gridCol w:w="1418"/>
      </w:tblGrid>
      <w:tr w:rsidR="00A069B0" w:rsidRPr="0025460B" w:rsidTr="00BD6839">
        <w:tc>
          <w:tcPr>
            <w:tcW w:w="9356" w:type="dxa"/>
            <w:gridSpan w:val="5"/>
          </w:tcPr>
          <w:p w:rsidR="00A069B0" w:rsidRPr="0025460B" w:rsidRDefault="00A069B0" w:rsidP="00BD6839">
            <w:pPr>
              <w:pStyle w:val="CorpLDL6"/>
              <w:numPr>
                <w:ilvl w:val="0"/>
                <w:numId w:val="0"/>
              </w:numPr>
              <w:rPr>
                <w:rFonts w:ascii="Arial" w:eastAsia="Arial" w:hAnsi="Arial" w:cs="Arial"/>
                <w:sz w:val="20"/>
                <w:szCs w:val="20"/>
              </w:rPr>
            </w:pPr>
            <w:r w:rsidRPr="0025460B">
              <w:rPr>
                <w:rFonts w:ascii="Arial" w:eastAsia="Arial" w:hAnsi="Arial" w:cs="Arial"/>
                <w:sz w:val="20"/>
                <w:szCs w:val="20"/>
              </w:rPr>
              <w:t xml:space="preserve">Corporate Governance Reporting (financial) year </w:t>
            </w:r>
            <w:r w:rsidRPr="0025460B">
              <w:rPr>
                <w:rFonts w:ascii="Arial" w:eastAsia="Arial" w:hAnsi="Arial" w:cs="Arial"/>
                <w:b/>
                <w:sz w:val="20"/>
                <w:szCs w:val="20"/>
              </w:rPr>
              <w:t>[</w:t>
            </w:r>
            <w:r w:rsidRPr="0025460B">
              <w:rPr>
                <w:rFonts w:ascii="Arial" w:eastAsia="Arial" w:hAnsi="Arial" w:cs="Arial"/>
                <w:sz w:val="20"/>
                <w:szCs w:val="20"/>
              </w:rPr>
              <w:t>__</w:t>
            </w:r>
            <w:r w:rsidRPr="0025460B">
              <w:rPr>
                <w:rFonts w:ascii="Arial" w:eastAsia="Arial" w:hAnsi="Arial" w:cs="Arial"/>
                <w:b/>
                <w:sz w:val="20"/>
                <w:szCs w:val="20"/>
              </w:rPr>
              <w:t>]</w:t>
            </w:r>
            <w:r w:rsidRPr="0025460B">
              <w:rPr>
                <w:rFonts w:ascii="Arial" w:eastAsia="Arial" w:hAnsi="Arial" w:cs="Arial"/>
                <w:sz w:val="20"/>
                <w:szCs w:val="20"/>
              </w:rPr>
              <w:t xml:space="preserve"> </w:t>
            </w:r>
          </w:p>
        </w:tc>
      </w:tr>
      <w:tr w:rsidR="00A069B0" w:rsidRPr="0025460B" w:rsidTr="00BD6839">
        <w:tc>
          <w:tcPr>
            <w:tcW w:w="1222" w:type="dxa"/>
          </w:tcPr>
          <w:p w:rsidR="00A069B0" w:rsidRPr="0025460B" w:rsidRDefault="00A069B0" w:rsidP="00BD6839">
            <w:pPr>
              <w:pStyle w:val="CorpLDL6"/>
              <w:numPr>
                <w:ilvl w:val="0"/>
                <w:numId w:val="0"/>
              </w:numPr>
              <w:spacing w:before="0" w:after="0"/>
              <w:rPr>
                <w:rFonts w:ascii="Arial" w:hAnsi="Arial" w:cs="Arial"/>
                <w:b/>
                <w:sz w:val="20"/>
                <w:szCs w:val="20"/>
              </w:rPr>
            </w:pPr>
            <w:r w:rsidRPr="0025460B">
              <w:rPr>
                <w:rFonts w:ascii="Arial" w:eastAsia="Arial" w:hAnsi="Arial" w:cs="Arial"/>
                <w:sz w:val="20"/>
                <w:szCs w:val="20"/>
              </w:rPr>
              <w:t xml:space="preserve">Name (target) </w:t>
            </w:r>
            <w:r w:rsidRPr="0025460B">
              <w:rPr>
                <w:rFonts w:ascii="Arial" w:hAnsi="Arial" w:cs="Arial"/>
                <w:sz w:val="20"/>
                <w:szCs w:val="20"/>
              </w:rPr>
              <w:t>Portfolio Company</w:t>
            </w:r>
          </w:p>
          <w:p w:rsidR="00A069B0" w:rsidRPr="0025460B" w:rsidRDefault="00A069B0" w:rsidP="00BD6839">
            <w:pPr>
              <w:pStyle w:val="CorpLDL6"/>
              <w:numPr>
                <w:ilvl w:val="0"/>
                <w:numId w:val="0"/>
              </w:numPr>
              <w:spacing w:before="0" w:after="0"/>
              <w:rPr>
                <w:rFonts w:ascii="Arial" w:eastAsia="Arial" w:hAnsi="Arial" w:cs="Arial"/>
                <w:sz w:val="20"/>
                <w:szCs w:val="20"/>
              </w:rPr>
            </w:pPr>
            <w:r w:rsidRPr="0025460B">
              <w:rPr>
                <w:rFonts w:ascii="Arial" w:eastAsia="Arial" w:hAnsi="Arial" w:cs="Arial"/>
                <w:sz w:val="20"/>
                <w:szCs w:val="20"/>
              </w:rPr>
              <w:t>assessed</w:t>
            </w:r>
          </w:p>
        </w:tc>
        <w:tc>
          <w:tcPr>
            <w:tcW w:w="2180" w:type="dxa"/>
          </w:tcPr>
          <w:p w:rsidR="00A069B0" w:rsidRPr="0025460B" w:rsidRDefault="00A069B0" w:rsidP="00BD6839">
            <w:pPr>
              <w:pStyle w:val="CorpLDL6"/>
              <w:numPr>
                <w:ilvl w:val="0"/>
                <w:numId w:val="0"/>
              </w:numPr>
              <w:rPr>
                <w:rFonts w:ascii="Arial" w:eastAsia="Arial" w:hAnsi="Arial" w:cs="Arial"/>
                <w:sz w:val="20"/>
                <w:szCs w:val="20"/>
              </w:rPr>
            </w:pPr>
            <w:r w:rsidRPr="0025460B">
              <w:rPr>
                <w:rFonts w:ascii="Arial" w:eastAsia="Arial" w:hAnsi="Arial" w:cs="Arial"/>
                <w:sz w:val="20"/>
                <w:szCs w:val="20"/>
              </w:rPr>
              <w:t>Risk level at Phase 1 (high, medium or low)</w:t>
            </w:r>
          </w:p>
        </w:tc>
        <w:tc>
          <w:tcPr>
            <w:tcW w:w="2268" w:type="dxa"/>
          </w:tcPr>
          <w:p w:rsidR="00A069B0" w:rsidRPr="0025460B" w:rsidRDefault="00A069B0" w:rsidP="00BD6839">
            <w:pPr>
              <w:pStyle w:val="CorpLDL6"/>
              <w:numPr>
                <w:ilvl w:val="0"/>
                <w:numId w:val="0"/>
              </w:numPr>
              <w:rPr>
                <w:rFonts w:ascii="Arial" w:eastAsia="Arial" w:hAnsi="Arial" w:cs="Arial"/>
                <w:sz w:val="20"/>
                <w:szCs w:val="20"/>
              </w:rPr>
            </w:pPr>
            <w:r w:rsidRPr="0025460B">
              <w:rPr>
                <w:rFonts w:ascii="Arial" w:eastAsia="Arial" w:hAnsi="Arial" w:cs="Arial"/>
                <w:sz w:val="20"/>
                <w:szCs w:val="20"/>
              </w:rPr>
              <w:t>Voluntary or obligatory remedial action plan</w:t>
            </w:r>
          </w:p>
        </w:tc>
        <w:tc>
          <w:tcPr>
            <w:tcW w:w="2268" w:type="dxa"/>
          </w:tcPr>
          <w:p w:rsidR="00A069B0" w:rsidRPr="0025460B" w:rsidRDefault="00A069B0" w:rsidP="00BD6839">
            <w:pPr>
              <w:pStyle w:val="CorpLDL6"/>
              <w:numPr>
                <w:ilvl w:val="0"/>
                <w:numId w:val="0"/>
              </w:numPr>
              <w:rPr>
                <w:rFonts w:ascii="Arial" w:eastAsia="Arial" w:hAnsi="Arial" w:cs="Arial"/>
                <w:sz w:val="20"/>
                <w:szCs w:val="20"/>
              </w:rPr>
            </w:pPr>
            <w:r w:rsidRPr="0025460B">
              <w:rPr>
                <w:rFonts w:ascii="Arial" w:eastAsia="Arial" w:hAnsi="Arial" w:cs="Arial"/>
                <w:sz w:val="20"/>
                <w:szCs w:val="20"/>
              </w:rPr>
              <w:t>Brief description of remedial actions agreed upon and completion dates</w:t>
            </w:r>
          </w:p>
        </w:tc>
        <w:tc>
          <w:tcPr>
            <w:tcW w:w="1418" w:type="dxa"/>
          </w:tcPr>
          <w:p w:rsidR="00A069B0" w:rsidRPr="0025460B" w:rsidRDefault="00A069B0" w:rsidP="00BD6839">
            <w:pPr>
              <w:pStyle w:val="CorpLDL6"/>
              <w:numPr>
                <w:ilvl w:val="0"/>
                <w:numId w:val="0"/>
              </w:numPr>
              <w:rPr>
                <w:rFonts w:ascii="Arial" w:eastAsia="Arial" w:hAnsi="Arial" w:cs="Arial"/>
                <w:b/>
                <w:sz w:val="20"/>
                <w:szCs w:val="20"/>
              </w:rPr>
            </w:pPr>
            <w:r w:rsidRPr="0025460B">
              <w:rPr>
                <w:rFonts w:ascii="Arial" w:eastAsia="Arial" w:hAnsi="Arial" w:cs="Arial"/>
                <w:sz w:val="20"/>
                <w:szCs w:val="20"/>
              </w:rPr>
              <w:t>Progress</w:t>
            </w:r>
            <w:r w:rsidRPr="0025460B">
              <w:rPr>
                <w:rFonts w:ascii="Arial" w:eastAsia="Arial" w:hAnsi="Arial" w:cs="Arial"/>
                <w:b/>
                <w:sz w:val="20"/>
                <w:szCs w:val="20"/>
              </w:rPr>
              <w:t>]</w:t>
            </w:r>
          </w:p>
        </w:tc>
      </w:tr>
    </w:tbl>
    <w:p w:rsidR="00A069B0" w:rsidRPr="0025460B" w:rsidRDefault="00A069B0" w:rsidP="00A069B0">
      <w:pPr>
        <w:rPr>
          <w:rFonts w:cs="Arial"/>
          <w:sz w:val="20"/>
          <w:szCs w:val="20"/>
        </w:rPr>
      </w:pPr>
    </w:p>
    <w:p w:rsidR="00E74C20" w:rsidRPr="00B87374" w:rsidRDefault="004E5AE8" w:rsidP="00894E59">
      <w:pPr>
        <w:rPr>
          <w:rFonts w:cs="Arial"/>
          <w:sz w:val="20"/>
          <w:szCs w:val="20"/>
        </w:rPr>
      </w:pPr>
    </w:p>
    <w:sectPr w:rsidR="00E74C20" w:rsidRPr="00B87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5CA"/>
    <w:multiLevelType w:val="multilevel"/>
    <w:tmpl w:val="4DD44634"/>
    <w:name w:val="zzmpMultiLevel||Multi-Level|2|4|1|1|0|33||1|0|0||1|0|0||1|0|0||1|0|0||1|0|0||1|0|0||1|0|0||1|0|0||"/>
    <w:lvl w:ilvl="0">
      <w:start w:val="1"/>
      <w:numFmt w:val="decimal"/>
      <w:lvlRestart w:val="0"/>
      <w:pStyle w:val="MultiLevelL1"/>
      <w:lvlText w:val="%1."/>
      <w:lvlJc w:val="left"/>
      <w:pPr>
        <w:tabs>
          <w:tab w:val="num" w:pos="720"/>
        </w:tabs>
        <w:ind w:left="720" w:hanging="720"/>
      </w:pPr>
      <w:rPr>
        <w:rFonts w:ascii="Times New Roman" w:hAnsi="Times New Roman" w:cs="Times New Roman"/>
        <w:b w:val="0"/>
        <w:i w:val="0"/>
        <w:caps w:val="0"/>
        <w:sz w:val="24"/>
        <w:u w:val="none"/>
      </w:rPr>
    </w:lvl>
    <w:lvl w:ilvl="1">
      <w:start w:val="1"/>
      <w:numFmt w:val="lowerLetter"/>
      <w:pStyle w:val="MultiLevel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lowerRoman"/>
      <w:pStyle w:val="MultiLevel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upperLetter"/>
      <w:pStyle w:val="MultiLevel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upperRoman"/>
      <w:pStyle w:val="MultiLevel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MultiLevel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MultiLevel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MultiLevel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bullet"/>
      <w:lvlRestart w:val="0"/>
      <w:pStyle w:val="MultiLevelL9"/>
      <w:lvlText w:val="·"/>
      <w:lvlJc w:val="left"/>
      <w:pPr>
        <w:tabs>
          <w:tab w:val="num" w:pos="6480"/>
        </w:tabs>
        <w:ind w:left="6480" w:hanging="720"/>
      </w:pPr>
      <w:rPr>
        <w:rFonts w:ascii="Symbol" w:hAnsi="Symbol" w:hint="default"/>
        <w:b w:val="0"/>
        <w:i w:val="0"/>
        <w:caps w:val="0"/>
        <w:u w:val="none"/>
      </w:rPr>
    </w:lvl>
  </w:abstractNum>
  <w:abstractNum w:abstractNumId="1" w15:restartNumberingAfterBreak="0">
    <w:nsid w:val="1CAB08C5"/>
    <w:multiLevelType w:val="multilevel"/>
    <w:tmpl w:val="79704998"/>
    <w:lvl w:ilvl="0">
      <w:start w:val="1"/>
      <w:numFmt w:val="decimal"/>
      <w:pStyle w:val="CorpLDL1"/>
      <w:isLgl/>
      <w:lvlText w:val="%1."/>
      <w:lvlJc w:val="left"/>
      <w:pPr>
        <w:tabs>
          <w:tab w:val="num" w:pos="720"/>
        </w:tabs>
        <w:ind w:left="720" w:hanging="720"/>
      </w:pPr>
      <w:rPr>
        <w:b w:val="0"/>
        <w:i w:val="0"/>
        <w:caps w:val="0"/>
        <w:color w:val="auto"/>
        <w:u w:val="none"/>
      </w:rPr>
    </w:lvl>
    <w:lvl w:ilvl="1">
      <w:start w:val="1"/>
      <w:numFmt w:val="decimal"/>
      <w:pStyle w:val="CorpLDL2"/>
      <w:isLgl/>
      <w:lvlText w:val="%1.%2"/>
      <w:lvlJc w:val="left"/>
      <w:pPr>
        <w:tabs>
          <w:tab w:val="num" w:pos="720"/>
        </w:tabs>
        <w:ind w:left="720" w:hanging="720"/>
      </w:pPr>
      <w:rPr>
        <w:rFonts w:ascii="Arial" w:hAnsi="Arial" w:cs="Arial" w:hint="default"/>
        <w:b w:val="0"/>
        <w:i w:val="0"/>
        <w:caps w:val="0"/>
        <w:color w:val="auto"/>
        <w:sz w:val="20"/>
        <w:szCs w:val="20"/>
        <w:u w:val="none"/>
      </w:rPr>
    </w:lvl>
    <w:lvl w:ilvl="2">
      <w:start w:val="1"/>
      <w:numFmt w:val="lowerLetter"/>
      <w:pStyle w:val="CorpLDL3"/>
      <w:lvlText w:val="(%3)"/>
      <w:lvlJc w:val="left"/>
      <w:pPr>
        <w:tabs>
          <w:tab w:val="num" w:pos="1440"/>
        </w:tabs>
        <w:ind w:left="1440" w:hanging="720"/>
      </w:pPr>
      <w:rPr>
        <w:rFonts w:ascii="Verdana" w:hAnsi="Verdana" w:hint="default"/>
        <w:b w:val="0"/>
        <w:i w:val="0"/>
        <w:caps w:val="0"/>
        <w:color w:val="auto"/>
        <w:sz w:val="18"/>
        <w:szCs w:val="18"/>
        <w:u w:val="none"/>
      </w:rPr>
    </w:lvl>
    <w:lvl w:ilvl="3">
      <w:start w:val="1"/>
      <w:numFmt w:val="lowerRoman"/>
      <w:pStyle w:val="CorpLDL4"/>
      <w:lvlText w:val="(%4)"/>
      <w:lvlJc w:val="left"/>
      <w:pPr>
        <w:tabs>
          <w:tab w:val="num" w:pos="2160"/>
        </w:tabs>
        <w:ind w:left="2160" w:hanging="720"/>
      </w:pPr>
      <w:rPr>
        <w:b w:val="0"/>
        <w:i w:val="0"/>
        <w:caps w:val="0"/>
        <w:color w:val="auto"/>
        <w:u w:val="none"/>
      </w:rPr>
    </w:lvl>
    <w:lvl w:ilvl="4">
      <w:start w:val="1"/>
      <w:numFmt w:val="upperLetter"/>
      <w:pStyle w:val="CorpLDL5"/>
      <w:lvlText w:val="(%5)"/>
      <w:lvlJc w:val="left"/>
      <w:pPr>
        <w:tabs>
          <w:tab w:val="num" w:pos="2880"/>
        </w:tabs>
        <w:ind w:left="2880" w:hanging="720"/>
      </w:pPr>
      <w:rPr>
        <w:b w:val="0"/>
        <w:i w:val="0"/>
        <w:caps w:val="0"/>
        <w:color w:val="auto"/>
        <w:u w:val="none"/>
      </w:rPr>
    </w:lvl>
    <w:lvl w:ilvl="5">
      <w:start w:val="1"/>
      <w:numFmt w:val="decimal"/>
      <w:lvlRestart w:val="0"/>
      <w:pStyle w:val="CorpLDL6"/>
      <w:lvlText w:val="(%6)"/>
      <w:lvlJc w:val="left"/>
      <w:pPr>
        <w:tabs>
          <w:tab w:val="num" w:pos="3600"/>
        </w:tabs>
        <w:ind w:left="3600" w:hanging="720"/>
      </w:pPr>
      <w:rPr>
        <w:b w:val="0"/>
        <w:i w:val="0"/>
        <w:caps w:val="0"/>
        <w:color w:val="auto"/>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D40588"/>
    <w:multiLevelType w:val="hybridMultilevel"/>
    <w:tmpl w:val="6EDA0EF4"/>
    <w:lvl w:ilvl="0" w:tplc="8396BB78">
      <w:start w:val="1"/>
      <w:numFmt w:val="decimal"/>
      <w:lvlText w:val="%1."/>
      <w:lvlJc w:val="left"/>
      <w:pPr>
        <w:tabs>
          <w:tab w:val="num" w:pos="1080"/>
        </w:tabs>
        <w:ind w:left="1080" w:hanging="720"/>
      </w:pPr>
      <w:rPr>
        <w:b w:val="0"/>
        <w:i w:val="0"/>
      </w:rPr>
    </w:lvl>
    <w:lvl w:ilvl="1" w:tplc="74BA9A54">
      <w:start w:val="1"/>
      <w:numFmt w:val="lowerLetter"/>
      <w:lvlText w:val="%2."/>
      <w:lvlJc w:val="left"/>
      <w:pPr>
        <w:tabs>
          <w:tab w:val="num" w:pos="1440"/>
        </w:tabs>
        <w:ind w:left="1440" w:hanging="360"/>
      </w:pPr>
    </w:lvl>
    <w:lvl w:ilvl="2" w:tplc="F8C08A12">
      <w:start w:val="1"/>
      <w:numFmt w:val="lowerRoman"/>
      <w:lvlText w:val="%3."/>
      <w:lvlJc w:val="right"/>
      <w:pPr>
        <w:tabs>
          <w:tab w:val="num" w:pos="2160"/>
        </w:tabs>
        <w:ind w:left="2160" w:hanging="180"/>
      </w:pPr>
    </w:lvl>
    <w:lvl w:ilvl="3" w:tplc="4022C036">
      <w:start w:val="1"/>
      <w:numFmt w:val="decimal"/>
      <w:lvlText w:val="%4."/>
      <w:lvlJc w:val="left"/>
      <w:pPr>
        <w:tabs>
          <w:tab w:val="num" w:pos="2880"/>
        </w:tabs>
        <w:ind w:left="2880" w:hanging="360"/>
      </w:pPr>
    </w:lvl>
    <w:lvl w:ilvl="4" w:tplc="62607D54">
      <w:start w:val="1"/>
      <w:numFmt w:val="lowerLetter"/>
      <w:lvlText w:val="%5."/>
      <w:lvlJc w:val="left"/>
      <w:pPr>
        <w:tabs>
          <w:tab w:val="num" w:pos="3600"/>
        </w:tabs>
        <w:ind w:left="3600" w:hanging="360"/>
      </w:pPr>
    </w:lvl>
    <w:lvl w:ilvl="5" w:tplc="99BAF2A8">
      <w:start w:val="1"/>
      <w:numFmt w:val="lowerRoman"/>
      <w:lvlText w:val="%6."/>
      <w:lvlJc w:val="right"/>
      <w:pPr>
        <w:tabs>
          <w:tab w:val="num" w:pos="4320"/>
        </w:tabs>
        <w:ind w:left="4320" w:hanging="180"/>
      </w:pPr>
    </w:lvl>
    <w:lvl w:ilvl="6" w:tplc="A0B6EBC0">
      <w:start w:val="1"/>
      <w:numFmt w:val="decimal"/>
      <w:lvlText w:val="%7."/>
      <w:lvlJc w:val="left"/>
      <w:pPr>
        <w:tabs>
          <w:tab w:val="num" w:pos="5040"/>
        </w:tabs>
        <w:ind w:left="5040" w:hanging="360"/>
      </w:pPr>
    </w:lvl>
    <w:lvl w:ilvl="7" w:tplc="EAC63034">
      <w:start w:val="1"/>
      <w:numFmt w:val="lowerLetter"/>
      <w:lvlText w:val="%8."/>
      <w:lvlJc w:val="left"/>
      <w:pPr>
        <w:tabs>
          <w:tab w:val="num" w:pos="5760"/>
        </w:tabs>
        <w:ind w:left="5760" w:hanging="360"/>
      </w:pPr>
    </w:lvl>
    <w:lvl w:ilvl="8" w:tplc="967814A2">
      <w:start w:val="1"/>
      <w:numFmt w:val="lowerRoman"/>
      <w:lvlText w:val="%9."/>
      <w:lvlJc w:val="right"/>
      <w:pPr>
        <w:tabs>
          <w:tab w:val="num" w:pos="6480"/>
        </w:tabs>
        <w:ind w:left="6480" w:hanging="180"/>
      </w:pPr>
    </w:lvl>
  </w:abstractNum>
  <w:abstractNum w:abstractNumId="3" w15:restartNumberingAfterBreak="0">
    <w:nsid w:val="3F2828BA"/>
    <w:multiLevelType w:val="hybridMultilevel"/>
    <w:tmpl w:val="22A22B9E"/>
    <w:lvl w:ilvl="0" w:tplc="53A086E0">
      <w:start w:val="1"/>
      <w:numFmt w:val="decimal"/>
      <w:lvlText w:val="%1."/>
      <w:lvlJc w:val="left"/>
      <w:pPr>
        <w:tabs>
          <w:tab w:val="num" w:pos="1080"/>
        </w:tabs>
        <w:ind w:left="1080" w:hanging="720"/>
      </w:pPr>
    </w:lvl>
    <w:lvl w:ilvl="1" w:tplc="F252FF28">
      <w:start w:val="1"/>
      <w:numFmt w:val="lowerLetter"/>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B0"/>
    <w:rsid w:val="004E5AE8"/>
    <w:rsid w:val="005C3DF9"/>
    <w:rsid w:val="00894E59"/>
    <w:rsid w:val="00A069B0"/>
    <w:rsid w:val="00AB3299"/>
    <w:rsid w:val="00AD5226"/>
    <w:rsid w:val="00B87374"/>
    <w:rsid w:val="00D458EC"/>
    <w:rsid w:val="00F4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3EC"/>
  <w15:chartTrackingRefBased/>
  <w15:docId w15:val="{F5804CD9-3F5C-4A49-A1A2-32FBE10E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9B0"/>
    <w:pPr>
      <w:spacing w:after="0" w:line="240" w:lineRule="auto"/>
    </w:pPr>
    <w:rPr>
      <w:rFonts w:ascii="Arial" w:eastAsia="Arial" w:hAnsi="Arial"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LDL1">
    <w:name w:val="CorpLD_L1"/>
    <w:basedOn w:val="Normal"/>
    <w:next w:val="Normal"/>
    <w:qFormat/>
    <w:rsid w:val="00A069B0"/>
    <w:pPr>
      <w:keepNext/>
      <w:numPr>
        <w:numId w:val="1"/>
      </w:numPr>
      <w:spacing w:before="120" w:after="120"/>
      <w:jc w:val="both"/>
      <w:outlineLvl w:val="0"/>
    </w:pPr>
    <w:rPr>
      <w:rFonts w:ascii="Times New Roman" w:eastAsia="Times New Roman" w:hAnsi="Times New Roman"/>
      <w:b/>
      <w:i/>
      <w:sz w:val="24"/>
      <w:szCs w:val="24"/>
    </w:rPr>
  </w:style>
  <w:style w:type="paragraph" w:customStyle="1" w:styleId="CorpLDL2">
    <w:name w:val="CorpLD_L2"/>
    <w:basedOn w:val="CorpLDL1"/>
    <w:next w:val="Normal"/>
    <w:qFormat/>
    <w:rsid w:val="00A069B0"/>
    <w:pPr>
      <w:keepNext w:val="0"/>
      <w:numPr>
        <w:ilvl w:val="1"/>
      </w:numPr>
      <w:outlineLvl w:val="1"/>
    </w:pPr>
    <w:rPr>
      <w:b w:val="0"/>
      <w:i w:val="0"/>
    </w:rPr>
  </w:style>
  <w:style w:type="paragraph" w:customStyle="1" w:styleId="CorpLDL3">
    <w:name w:val="CorpLD_L3"/>
    <w:basedOn w:val="CorpLDL2"/>
    <w:next w:val="Normal"/>
    <w:qFormat/>
    <w:rsid w:val="00A069B0"/>
    <w:pPr>
      <w:numPr>
        <w:ilvl w:val="2"/>
      </w:numPr>
      <w:outlineLvl w:val="2"/>
    </w:pPr>
  </w:style>
  <w:style w:type="paragraph" w:customStyle="1" w:styleId="CorpLDL4">
    <w:name w:val="CorpLD_L4"/>
    <w:basedOn w:val="CorpLDL3"/>
    <w:next w:val="Normal"/>
    <w:qFormat/>
    <w:rsid w:val="00A069B0"/>
    <w:pPr>
      <w:numPr>
        <w:ilvl w:val="3"/>
      </w:numPr>
      <w:outlineLvl w:val="3"/>
    </w:pPr>
  </w:style>
  <w:style w:type="paragraph" w:customStyle="1" w:styleId="CorpLDL5">
    <w:name w:val="CorpLD_L5"/>
    <w:basedOn w:val="CorpLDL4"/>
    <w:next w:val="Normal"/>
    <w:qFormat/>
    <w:rsid w:val="00A069B0"/>
    <w:pPr>
      <w:numPr>
        <w:ilvl w:val="4"/>
      </w:numPr>
      <w:outlineLvl w:val="4"/>
    </w:pPr>
  </w:style>
  <w:style w:type="paragraph" w:customStyle="1" w:styleId="CorpLDL6">
    <w:name w:val="CorpLD_L6"/>
    <w:basedOn w:val="CorpLDL5"/>
    <w:next w:val="Normal"/>
    <w:qFormat/>
    <w:rsid w:val="00A069B0"/>
    <w:pPr>
      <w:numPr>
        <w:ilvl w:val="5"/>
      </w:numPr>
      <w:outlineLvl w:val="5"/>
    </w:pPr>
  </w:style>
  <w:style w:type="paragraph" w:customStyle="1" w:styleId="MultiLevelL1">
    <w:name w:val="MultiLevel_L1"/>
    <w:basedOn w:val="Normal"/>
    <w:rsid w:val="00A069B0"/>
    <w:pPr>
      <w:numPr>
        <w:numId w:val="2"/>
      </w:numPr>
      <w:spacing w:after="240"/>
      <w:outlineLvl w:val="0"/>
    </w:pPr>
    <w:rPr>
      <w:rFonts w:ascii="Times New Roman" w:eastAsia="Times New Roman" w:hAnsi="Times New Roman"/>
      <w:b/>
      <w:sz w:val="24"/>
      <w:szCs w:val="20"/>
    </w:rPr>
  </w:style>
  <w:style w:type="paragraph" w:customStyle="1" w:styleId="MultiLevelL2">
    <w:name w:val="MultiLevel_L2"/>
    <w:basedOn w:val="MultiLevelL1"/>
    <w:rsid w:val="00A069B0"/>
    <w:pPr>
      <w:numPr>
        <w:ilvl w:val="1"/>
      </w:numPr>
      <w:outlineLvl w:val="1"/>
    </w:pPr>
    <w:rPr>
      <w:b w:val="0"/>
    </w:rPr>
  </w:style>
  <w:style w:type="paragraph" w:customStyle="1" w:styleId="MultiLevelL3">
    <w:name w:val="MultiLevel_L3"/>
    <w:basedOn w:val="MultiLevelL2"/>
    <w:rsid w:val="00A069B0"/>
    <w:pPr>
      <w:numPr>
        <w:ilvl w:val="2"/>
      </w:numPr>
      <w:outlineLvl w:val="2"/>
    </w:pPr>
  </w:style>
  <w:style w:type="paragraph" w:customStyle="1" w:styleId="MultiLevelL4">
    <w:name w:val="MultiLevel_L4"/>
    <w:basedOn w:val="MultiLevelL3"/>
    <w:rsid w:val="00A069B0"/>
    <w:pPr>
      <w:numPr>
        <w:ilvl w:val="3"/>
      </w:numPr>
      <w:outlineLvl w:val="3"/>
    </w:pPr>
  </w:style>
  <w:style w:type="paragraph" w:customStyle="1" w:styleId="MultiLevelL5">
    <w:name w:val="MultiLevel_L5"/>
    <w:basedOn w:val="MultiLevelL4"/>
    <w:rsid w:val="00A069B0"/>
    <w:pPr>
      <w:numPr>
        <w:ilvl w:val="4"/>
      </w:numPr>
      <w:outlineLvl w:val="4"/>
    </w:pPr>
  </w:style>
  <w:style w:type="paragraph" w:customStyle="1" w:styleId="MultiLevelL6">
    <w:name w:val="MultiLevel_L6"/>
    <w:basedOn w:val="MultiLevelL5"/>
    <w:rsid w:val="00A069B0"/>
    <w:pPr>
      <w:numPr>
        <w:ilvl w:val="5"/>
      </w:numPr>
      <w:outlineLvl w:val="5"/>
    </w:pPr>
  </w:style>
  <w:style w:type="paragraph" w:customStyle="1" w:styleId="MultiLevelL7">
    <w:name w:val="MultiLevel_L7"/>
    <w:basedOn w:val="MultiLevelL6"/>
    <w:rsid w:val="00A069B0"/>
    <w:pPr>
      <w:numPr>
        <w:ilvl w:val="6"/>
      </w:numPr>
      <w:outlineLvl w:val="6"/>
    </w:pPr>
  </w:style>
  <w:style w:type="paragraph" w:customStyle="1" w:styleId="MultiLevelL8">
    <w:name w:val="MultiLevel_L8"/>
    <w:basedOn w:val="MultiLevelL7"/>
    <w:rsid w:val="00A069B0"/>
    <w:pPr>
      <w:numPr>
        <w:ilvl w:val="7"/>
      </w:numPr>
      <w:outlineLvl w:val="7"/>
    </w:pPr>
  </w:style>
  <w:style w:type="paragraph" w:customStyle="1" w:styleId="MultiLevelL9">
    <w:name w:val="MultiLevel_L9"/>
    <w:basedOn w:val="MultiLevelL8"/>
    <w:rsid w:val="00A069B0"/>
    <w:pPr>
      <w:numPr>
        <w:ilvl w:val="8"/>
      </w:numPr>
      <w:outlineLvl w:val="8"/>
    </w:pPr>
  </w:style>
  <w:style w:type="table" w:styleId="TableGrid">
    <w:name w:val="Table Grid"/>
    <w:basedOn w:val="TableNormal"/>
    <w:rsid w:val="00A069B0"/>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226"/>
    <w:rPr>
      <w:color w:val="0563C1" w:themeColor="hyperlink"/>
      <w:u w:val="single"/>
    </w:rPr>
  </w:style>
  <w:style w:type="character" w:styleId="UnresolvedMention">
    <w:name w:val="Unresolved Mention"/>
    <w:basedOn w:val="DefaultParagraphFont"/>
    <w:uiPriority w:val="99"/>
    <w:semiHidden/>
    <w:unhideWhenUsed/>
    <w:rsid w:val="00AD5226"/>
    <w:rPr>
      <w:color w:val="605E5C"/>
      <w:shd w:val="clear" w:color="auto" w:fill="E1DFDD"/>
    </w:rPr>
  </w:style>
  <w:style w:type="character" w:styleId="FollowedHyperlink">
    <w:name w:val="FollowedHyperlink"/>
    <w:basedOn w:val="DefaultParagraphFont"/>
    <w:uiPriority w:val="99"/>
    <w:semiHidden/>
    <w:unhideWhenUsed/>
    <w:rsid w:val="00AD5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mo.nl/estool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Felicie Ameschot</dc:creator>
  <cp:keywords/>
  <dc:description/>
  <cp:lastModifiedBy>Felicie Ameschot</cp:lastModifiedBy>
  <cp:revision>3</cp:revision>
  <dcterms:created xsi:type="dcterms:W3CDTF">2018-08-30T07:09:00Z</dcterms:created>
  <dcterms:modified xsi:type="dcterms:W3CDTF">2018-08-30T07:24:00Z</dcterms:modified>
</cp:coreProperties>
</file>